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3D3" w:rsidRPr="00F92187" w:rsidRDefault="00CF53D3" w:rsidP="00F92187">
      <w:pPr>
        <w:pStyle w:val="Web"/>
        <w:spacing w:line="280" w:lineRule="exact"/>
        <w:rPr>
          <w:rStyle w:val="a4"/>
          <w:rFonts w:ascii="微軟正黑體" w:eastAsia="微軟正黑體" w:hAnsi="微軟正黑體"/>
        </w:rPr>
      </w:pPr>
      <w:bookmarkStart w:id="0" w:name="_GoBack"/>
      <w:r w:rsidRPr="00F92187">
        <w:rPr>
          <w:rStyle w:val="a4"/>
          <w:rFonts w:ascii="微軟正黑體" w:eastAsia="微軟正黑體" w:hAnsi="微軟正黑體"/>
        </w:rPr>
        <w:t>屏東廠PC/PD棟太陽能發電系統建置評估 - 技術可用性與基礎設備準備狀況</w:t>
      </w:r>
    </w:p>
    <w:bookmarkEnd w:id="0"/>
    <w:p w:rsidR="00114787" w:rsidRPr="00F92187" w:rsidRDefault="00114787" w:rsidP="00F92187">
      <w:pPr>
        <w:pStyle w:val="Web"/>
        <w:spacing w:line="280" w:lineRule="exact"/>
        <w:rPr>
          <w:rFonts w:ascii="微軟正黑體" w:eastAsia="微軟正黑體" w:hAnsi="微軟正黑體"/>
        </w:rPr>
      </w:pPr>
      <w:r w:rsidRPr="00F92187">
        <w:rPr>
          <w:rFonts w:ascii="微軟正黑體" w:eastAsia="微軟正黑體" w:hAnsi="微軟正黑體" w:hint="eastAsia"/>
        </w:rPr>
        <w:t xml:space="preserve">                                                      </w:t>
      </w:r>
      <w:r w:rsidRPr="00F92187">
        <w:rPr>
          <w:rFonts w:ascii="微軟正黑體" w:eastAsia="微軟正黑體" w:hAnsi="微軟正黑體"/>
        </w:rPr>
        <w:t xml:space="preserve">  </w:t>
      </w:r>
      <w:r w:rsidRPr="00F92187">
        <w:rPr>
          <w:rFonts w:ascii="微軟正黑體" w:eastAsia="微軟正黑體" w:hAnsi="微軟正黑體" w:hint="eastAsia"/>
        </w:rPr>
        <w:t xml:space="preserve"> </w:t>
      </w:r>
      <w:r w:rsidRPr="00F92187">
        <w:rPr>
          <w:rFonts w:ascii="微軟正黑體" w:eastAsia="微軟正黑體" w:hAnsi="微軟正黑體" w:hint="eastAsia"/>
          <w:sz w:val="20"/>
        </w:rPr>
        <w:t>評估：2023.01</w:t>
      </w:r>
    </w:p>
    <w:p w:rsidR="00CF53D3" w:rsidRPr="00C939BF" w:rsidRDefault="00CF53D3" w:rsidP="00F92187">
      <w:pPr>
        <w:pStyle w:val="Web"/>
        <w:spacing w:line="280" w:lineRule="exact"/>
        <w:rPr>
          <w:rStyle w:val="a4"/>
        </w:rPr>
      </w:pPr>
      <w:r w:rsidRPr="00F92187">
        <w:rPr>
          <w:rStyle w:val="a4"/>
          <w:rFonts w:ascii="微軟正黑體" w:eastAsia="微軟正黑體" w:hAnsi="微軟正黑體"/>
        </w:rPr>
        <w:t>一、太陽能發電技術可用性</w:t>
      </w:r>
    </w:p>
    <w:p w:rsidR="00CF53D3" w:rsidRPr="00F92187" w:rsidRDefault="00CF53D3" w:rsidP="00F92187">
      <w:pPr>
        <w:pStyle w:val="Web"/>
        <w:spacing w:line="280" w:lineRule="exact"/>
        <w:rPr>
          <w:rFonts w:ascii="微軟正黑體" w:eastAsia="微軟正黑體" w:hAnsi="微軟正黑體" w:hint="eastAsia"/>
        </w:rPr>
      </w:pPr>
      <w:r w:rsidRPr="00F92187">
        <w:rPr>
          <w:rStyle w:val="a4"/>
          <w:rFonts w:ascii="微軟正黑體" w:eastAsia="微軟正黑體" w:hAnsi="微軟正黑體"/>
        </w:rPr>
        <w:t>光伏技術</w:t>
      </w:r>
      <w:r w:rsidRPr="00F92187">
        <w:rPr>
          <w:rFonts w:ascii="微軟正黑體" w:eastAsia="微軟正黑體" w:hAnsi="微軟正黑體"/>
        </w:rPr>
        <w:br/>
        <w:t>目前選用單晶矽太陽能板，這是效率最高的太陽能技術。單晶矽板的外觀呈現均勻的深黑色，表面平整光滑，因其高純度的矽材料，電子移動速度快，使發電效率達到 19% 以上。經過專業團隊與公司內部評估，決定使用發電功率為 410W 的單晶太陽能發電模組，進一步提升發電效益。</w:t>
      </w:r>
      <w:r w:rsidR="00F92187">
        <w:rPr>
          <w:rFonts w:ascii="微軟正黑體" w:eastAsia="微軟正黑體" w:hAnsi="微軟正黑體" w:hint="eastAsia"/>
        </w:rPr>
        <w:t>模組規格同以下附圖所示</w:t>
      </w:r>
      <w:r w:rsidR="00F92187" w:rsidRPr="00F92187">
        <w:rPr>
          <w:rFonts w:ascii="微軟正黑體" w:eastAsia="微軟正黑體" w:hAnsi="微軟正黑體"/>
        </w:rPr>
        <w:t>。</w:t>
      </w:r>
    </w:p>
    <w:p w:rsidR="00CF53D3" w:rsidRPr="00F92187" w:rsidRDefault="00CF53D3" w:rsidP="00F92187">
      <w:pPr>
        <w:pStyle w:val="Web"/>
        <w:spacing w:line="280" w:lineRule="exact"/>
        <w:rPr>
          <w:rFonts w:ascii="微軟正黑體" w:eastAsia="微軟正黑體" w:hAnsi="微軟正黑體"/>
        </w:rPr>
      </w:pPr>
      <w:r w:rsidRPr="00F92187">
        <w:rPr>
          <w:rStyle w:val="a4"/>
          <w:rFonts w:ascii="微軟正黑體" w:eastAsia="微軟正黑體" w:hAnsi="微軟正黑體"/>
        </w:rPr>
        <w:t>儲能技術</w:t>
      </w:r>
      <w:r w:rsidRPr="00F92187">
        <w:rPr>
          <w:rFonts w:ascii="微軟正黑體" w:eastAsia="微軟正黑體" w:hAnsi="微軟正黑體"/>
        </w:rPr>
        <w:br/>
        <w:t>巧新科技屏東廠屬於台電的購電大戶，因此發電後的電量將直接併入屏東廠的電力系統。公司設置的總發電容量達 1492 kWp，預計年發電量約為 1,850,000 度電，充分滿足廠內用電需求。</w:t>
      </w:r>
    </w:p>
    <w:p w:rsidR="00CF53D3" w:rsidRPr="00F92187" w:rsidRDefault="00F92187" w:rsidP="00F92187">
      <w:pPr>
        <w:pStyle w:val="Web"/>
        <w:spacing w:line="28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4155821</wp:posOffset>
            </wp:positionV>
            <wp:extent cx="5871210" cy="987425"/>
            <wp:effectExtent l="0" t="0" r="0" b="3175"/>
            <wp:wrapSquare wrapText="bothSides"/>
            <wp:docPr id="2" name="圖片 2" descr="cid:image001.png@01DB2630.09639B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cid:image001.png@01DB2630.09639B1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210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53D3" w:rsidRPr="00F92187">
        <w:rPr>
          <w:rStyle w:val="a4"/>
          <w:rFonts w:ascii="微軟正黑體" w:eastAsia="微軟正黑體" w:hAnsi="微軟正黑體"/>
        </w:rPr>
        <w:t>逆變器與電力管理技術</w:t>
      </w:r>
      <w:r w:rsidR="00CF53D3" w:rsidRPr="00F92187">
        <w:rPr>
          <w:rFonts w:ascii="微軟正黑體" w:eastAsia="微軟正黑體" w:hAnsi="微軟正黑體"/>
        </w:rPr>
        <w:br/>
        <w:t>根據專業團隊與公司的評估，選用三相併網型太陽光電變流器（逆變器），該產品經過嚴格的環境測試及防塵防水驗證，並配備雲端監控系統，可進行遠端監控，確保系統穩定運行。其電壓轉換範圍在 200V 至 1000V 之間，滿足不同功率需求。</w:t>
      </w:r>
      <w:r>
        <w:rPr>
          <w:rFonts w:ascii="微軟正黑體" w:eastAsia="微軟正黑體" w:hAnsi="微軟正黑體" w:hint="eastAsia"/>
        </w:rPr>
        <w:t>逆變器</w:t>
      </w:r>
      <w:r>
        <w:rPr>
          <w:rFonts w:ascii="微軟正黑體" w:eastAsia="微軟正黑體" w:hAnsi="微軟正黑體" w:hint="eastAsia"/>
        </w:rPr>
        <w:t>規格同以下附圖</w:t>
      </w:r>
      <w:r>
        <w:rPr>
          <w:rFonts w:ascii="微軟正黑體" w:eastAsia="微軟正黑體" w:hAnsi="微軟正黑體" w:hint="eastAsia"/>
        </w:rPr>
        <w:t>所示</w:t>
      </w:r>
      <w:r w:rsidRPr="00F92187">
        <w:rPr>
          <w:rFonts w:ascii="微軟正黑體" w:eastAsia="微軟正黑體" w:hAnsi="微軟正黑體"/>
        </w:rPr>
        <w:t>。</w:t>
      </w:r>
    </w:p>
    <w:p w:rsidR="00F92187" w:rsidRDefault="00F92187" w:rsidP="00F92187">
      <w:pPr>
        <w:pStyle w:val="Web"/>
        <w:spacing w:line="280" w:lineRule="exact"/>
        <w:rPr>
          <w:rStyle w:val="a4"/>
          <w:rFonts w:ascii="微軟正黑體" w:eastAsia="微軟正黑體" w:hAnsi="微軟正黑體"/>
        </w:rPr>
      </w:pPr>
    </w:p>
    <w:p w:rsidR="00CF53D3" w:rsidRPr="00F92187" w:rsidRDefault="00CF53D3" w:rsidP="00F92187">
      <w:pPr>
        <w:pStyle w:val="Web"/>
        <w:spacing w:line="280" w:lineRule="exact"/>
        <w:rPr>
          <w:rFonts w:ascii="微軟正黑體" w:eastAsia="微軟正黑體" w:hAnsi="微軟正黑體"/>
        </w:rPr>
      </w:pPr>
      <w:r w:rsidRPr="00F92187">
        <w:rPr>
          <w:rStyle w:val="a4"/>
          <w:rFonts w:ascii="微軟正黑體" w:eastAsia="微軟正黑體" w:hAnsi="微軟正黑體" w:hint="eastAsia"/>
        </w:rPr>
        <w:t>二、</w:t>
      </w:r>
      <w:r w:rsidRPr="00F92187">
        <w:rPr>
          <w:rStyle w:val="a4"/>
          <w:rFonts w:ascii="微軟正黑體" w:eastAsia="微軟正黑體" w:hAnsi="微軟正黑體"/>
        </w:rPr>
        <w:t>基礎設備準備程度評估</w:t>
      </w:r>
    </w:p>
    <w:p w:rsidR="00CF53D3" w:rsidRPr="00F92187" w:rsidRDefault="00CF53D3" w:rsidP="00F92187">
      <w:pPr>
        <w:pStyle w:val="Web"/>
        <w:spacing w:line="280" w:lineRule="exact"/>
        <w:rPr>
          <w:rFonts w:ascii="微軟正黑體" w:eastAsia="微軟正黑體" w:hAnsi="微軟正黑體"/>
        </w:rPr>
      </w:pPr>
      <w:r w:rsidRPr="00F92187">
        <w:rPr>
          <w:rStyle w:val="a4"/>
          <w:rFonts w:ascii="微軟正黑體" w:eastAsia="微軟正黑體" w:hAnsi="微軟正黑體"/>
        </w:rPr>
        <w:t>電網適應性</w:t>
      </w:r>
      <w:r w:rsidRPr="00F92187">
        <w:rPr>
          <w:rFonts w:ascii="微軟正黑體" w:eastAsia="微軟正黑體" w:hAnsi="微軟正黑體"/>
        </w:rPr>
        <w:br/>
        <w:t>公司採自發自用的發電模式，當發電量超出需求時，剩餘的電量將回饋台電電網，並通過電表反轉，抵扣購電量，達到有效的能源管理。</w:t>
      </w:r>
    </w:p>
    <w:p w:rsidR="00CF53D3" w:rsidRPr="00F92187" w:rsidRDefault="00CF53D3" w:rsidP="00F92187">
      <w:pPr>
        <w:pStyle w:val="Web"/>
        <w:spacing w:line="280" w:lineRule="exact"/>
        <w:rPr>
          <w:rFonts w:ascii="微軟正黑體" w:eastAsia="微軟正黑體" w:hAnsi="微軟正黑體"/>
        </w:rPr>
      </w:pPr>
      <w:r w:rsidRPr="00F92187">
        <w:rPr>
          <w:rStyle w:val="a4"/>
          <w:rFonts w:ascii="微軟正黑體" w:eastAsia="微軟正黑體" w:hAnsi="微軟正黑體"/>
        </w:rPr>
        <w:t>屋頂空間與安裝條件</w:t>
      </w:r>
      <w:r w:rsidRPr="00F92187">
        <w:rPr>
          <w:rFonts w:ascii="微軟正黑體" w:eastAsia="微軟正黑體" w:hAnsi="微軟正黑體"/>
        </w:rPr>
        <w:br/>
        <w:t>太陽能板將安裝於巧新科技屏東廠PC棟與PD棟的頂樓，預計架設 3640 片太陽能板，雙向面向南北，充分利用日照條件，達到最佳的發電效率。</w:t>
      </w:r>
    </w:p>
    <w:p w:rsidR="00CF53D3" w:rsidRPr="00F92187" w:rsidRDefault="00CF53D3" w:rsidP="00F92187">
      <w:pPr>
        <w:pStyle w:val="Web"/>
        <w:spacing w:line="280" w:lineRule="exact"/>
        <w:rPr>
          <w:rFonts w:ascii="微軟正黑體" w:eastAsia="微軟正黑體" w:hAnsi="微軟正黑體"/>
        </w:rPr>
      </w:pPr>
      <w:r w:rsidRPr="00F92187">
        <w:rPr>
          <w:rStyle w:val="a4"/>
          <w:rFonts w:ascii="微軟正黑體" w:eastAsia="微軟正黑體" w:hAnsi="微軟正黑體"/>
        </w:rPr>
        <w:t>政策與補貼支持</w:t>
      </w:r>
      <w:r w:rsidRPr="00F92187">
        <w:rPr>
          <w:rFonts w:ascii="微軟正黑體" w:eastAsia="微軟正黑體" w:hAnsi="微軟正黑體"/>
        </w:rPr>
        <w:br/>
        <w:t>巧新科技屏東廠屬於台電的用電大戶，根據政府政策規定，台電用電大戶需架設相當於購電量 10% 的綠能發電設備。因此，公司選擇在屏東廠頂樓建置太陽能發電系統，響應政府的綠能政策。</w:t>
      </w:r>
    </w:p>
    <w:p w:rsidR="00F92187" w:rsidRDefault="00CF53D3" w:rsidP="00F92187">
      <w:pPr>
        <w:pStyle w:val="Web"/>
        <w:spacing w:line="280" w:lineRule="exact"/>
        <w:rPr>
          <w:rFonts w:ascii="微軟正黑體" w:eastAsia="微軟正黑體" w:hAnsi="微軟正黑體" w:hint="eastAsia"/>
        </w:rPr>
      </w:pPr>
      <w:r w:rsidRPr="00F92187">
        <w:rPr>
          <w:rStyle w:val="a4"/>
          <w:rFonts w:ascii="微軟正黑體" w:eastAsia="微軟正黑體" w:hAnsi="微軟正黑體"/>
        </w:rPr>
        <w:t>專業人力資源與施工能力</w:t>
      </w:r>
      <w:r w:rsidRPr="00F92187">
        <w:rPr>
          <w:rFonts w:ascii="微軟正黑體" w:eastAsia="微軟正黑體" w:hAnsi="微軟正黑體"/>
        </w:rPr>
        <w:br/>
        <w:t>本次專案聘請了友達光電股份有限公司進行場地評估、光電站架設與台電電網連結的技術施工，確保項目按期高效完成，並達到最優的發電效能。</w:t>
      </w:r>
    </w:p>
    <w:sectPr w:rsidR="00F921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AF4" w:rsidRDefault="00344AF4"/>
  </w:endnote>
  <w:endnote w:type="continuationSeparator" w:id="0">
    <w:p w:rsidR="00344AF4" w:rsidRDefault="00344A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AF4" w:rsidRDefault="00344AF4"/>
  </w:footnote>
  <w:footnote w:type="continuationSeparator" w:id="0">
    <w:p w:rsidR="00344AF4" w:rsidRDefault="00344A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308D7"/>
    <w:multiLevelType w:val="multilevel"/>
    <w:tmpl w:val="B8D2C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3E4DB8"/>
    <w:multiLevelType w:val="hybridMultilevel"/>
    <w:tmpl w:val="B204EF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ED53C7D"/>
    <w:multiLevelType w:val="hybridMultilevel"/>
    <w:tmpl w:val="A4D408F4"/>
    <w:lvl w:ilvl="0" w:tplc="A156C76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C5C22BE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1A52792"/>
    <w:multiLevelType w:val="multilevel"/>
    <w:tmpl w:val="8264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A4B"/>
    <w:rsid w:val="000909A4"/>
    <w:rsid w:val="000C3C57"/>
    <w:rsid w:val="00114787"/>
    <w:rsid w:val="00135394"/>
    <w:rsid w:val="0017621C"/>
    <w:rsid w:val="00196686"/>
    <w:rsid w:val="00213A4B"/>
    <w:rsid w:val="002676B8"/>
    <w:rsid w:val="00335F1A"/>
    <w:rsid w:val="00344AF4"/>
    <w:rsid w:val="004C5258"/>
    <w:rsid w:val="00592693"/>
    <w:rsid w:val="00921ED5"/>
    <w:rsid w:val="009645DC"/>
    <w:rsid w:val="00A962EE"/>
    <w:rsid w:val="00B03FF8"/>
    <w:rsid w:val="00B1051F"/>
    <w:rsid w:val="00B10587"/>
    <w:rsid w:val="00C31D51"/>
    <w:rsid w:val="00C939BF"/>
    <w:rsid w:val="00CE3356"/>
    <w:rsid w:val="00CF53D3"/>
    <w:rsid w:val="00D72D2B"/>
    <w:rsid w:val="00D744EE"/>
    <w:rsid w:val="00F377BD"/>
    <w:rsid w:val="00F86B48"/>
    <w:rsid w:val="00F92187"/>
    <w:rsid w:val="00FA28F2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C3A9750"/>
  <w15:chartTrackingRefBased/>
  <w15:docId w15:val="{55CFDEE1-6A7C-4FC1-8D32-58A7ABE5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5DC"/>
    <w:pPr>
      <w:ind w:leftChars="200" w:left="480"/>
    </w:pPr>
  </w:style>
  <w:style w:type="paragraph" w:styleId="Web">
    <w:name w:val="Normal (Web)"/>
    <w:basedOn w:val="a"/>
    <w:uiPriority w:val="99"/>
    <w:unhideWhenUsed/>
    <w:rsid w:val="00CF53D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CF53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5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B2630.09639B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PQA13(ed.hsu 許硯欽)</dc:creator>
  <cp:keywords/>
  <dc:description/>
  <cp:lastModifiedBy>PQA13(ed.hsu 許硯欽)</cp:lastModifiedBy>
  <cp:revision>4</cp:revision>
  <dcterms:created xsi:type="dcterms:W3CDTF">2024-10-24T08:17:00Z</dcterms:created>
  <dcterms:modified xsi:type="dcterms:W3CDTF">2024-10-24T12:31:00Z</dcterms:modified>
</cp:coreProperties>
</file>